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绩效自评报告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ascii="仿宋" w:hAnsi="仿宋" w:cs="仿宋" w:eastAsia="仿宋"/>
          <w:b w:val="true"/>
          <w:sz w:val="32"/>
        </w:rPr>
        <w:t>科技研究经费</w:t>
      </w: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ascii="仿宋" w:hAnsi="仿宋" w:cs="仿宋" w:eastAsia="仿宋"/>
          <w:b w:val="true"/>
          <w:sz w:val="32"/>
        </w:rPr>
        <w:t>乌海市科学技术局（部门）</w:t>
      </w:r>
    </w:p>
    <w:p>
      <w:pPr>
        <w:ind w:firstLine="1606" w:firstLineChars="500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62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ascii="方正小标宋简体" w:hAnsi="方正小标宋简体" w:cs="方正小标宋简体" w:eastAsia="方正小标宋简体"/>
          <w:sz w:val="44"/>
        </w:rPr>
        <w:t>年</w:t>
      </w:r>
      <w:r>
        <w:rPr>
          <w:rFonts w:ascii="方正小标宋简体" w:hAnsi="方正小标宋简体" w:cs="方正小标宋简体" w:eastAsia="方正小标宋简体"/>
          <w:sz w:val="44"/>
        </w:rPr>
        <w:t>科技研究经费</w:t>
      </w:r>
      <w:r>
        <w:rPr>
          <w:rFonts w:ascii="方正小标宋简体" w:hAnsi="方正小标宋简体" w:cs="方正小标宋简体" w:eastAsia="方正小标宋简体"/>
          <w:sz w:val="44"/>
        </w:rPr>
        <w:t>项目绩效自评报告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spacing w:before="188" w:line="204" w:lineRule="auto"/>
        <w:ind w:firstLine="577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（一）项目基本情况简介。</w:t>
      </w:r>
    </w:p>
    <w:p>
      <w:pPr>
        <w:spacing w:line="620" w:lineRule="exact"/>
        <w:ind w:firstLine="990" w:firstLineChars="330"/>
        <w:rPr>
          <w:rFonts w:hint="eastAsia" w:ascii="仿宋"/>
          <w:sz w:val="32"/>
        </w:rPr>
      </w:pPr>
      <w:r>
        <w:rPr>
          <w:rFonts w:hint="eastAsia" w:ascii="仿宋"/>
          <w:sz w:val="30"/>
          <w:szCs w:val="30"/>
        </w:rPr>
        <w:t>为推进科技服务，提高科技成果推广，了解科技新动态，加大新技术、新品种的引进与推广，开展科技咨询、科技调研、科技博览会等；与上级部门和兄弟盟市进行纵向横向的业务交流，与省级/国家级科研院所开展产学研合作；为推动科技创新发展，加大科技宣传力度，印刷科技宣传册及科技宣传广告牌等。</w:t>
      </w:r>
    </w:p>
    <w:p>
      <w:pPr>
        <w:numPr>
          <w:ilvl w:val="0"/>
          <w:numId w:val="2"/>
        </w:numPr>
        <w:spacing w:before="188" w:line="204" w:lineRule="auto"/>
        <w:ind w:firstLine="577"/>
        <w:rPr>
          <w:rFonts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绩效目标设定及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指标</w:t>
      </w:r>
      <w:r>
        <w:rPr>
          <w:rFonts w:ascii="仿宋" w:hAnsi="仿宋" w:eastAsia="仿宋" w:cs="仿宋"/>
          <w:spacing w:val="8"/>
          <w:sz w:val="30"/>
          <w:szCs w:val="30"/>
        </w:rPr>
        <w:t>完成情况。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预期目标：</w:t>
      </w:r>
      <w:r>
        <w:rPr>
          <w:rFonts w:ascii="仿宋" w:hAnsi="仿宋" w:cs="仿宋" w:eastAsia="仿宋"/>
          <w:color w:val="auto"/>
          <w:spacing w:val="8"/>
          <w:sz w:val="30"/>
        </w:rPr>
        <w:t>为推进科技服务，提高科技成果推广，加大新技术、新品种的引进与推广，开展科技咨询、科技调研、科技博览会等出差3~5次；与上级部门和兄弟盟市进行纵向横向的业务交流，与省级/国家级科研院所开展产学研合作1~2次；为推动科技创新发展，加大科技宣传力度，印刷科技宣传册7~8种、科技宣传广告牌4~5块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rPr>
          <w:rFonts w:hint="default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绩效目标实际完成情况：</w:t>
      </w:r>
      <w:r>
        <w:rPr>
          <w:rFonts w:ascii="仿宋" w:hAnsi="仿宋" w:cs="仿宋" w:eastAsia="仿宋"/>
          <w:color w:val="auto"/>
          <w:spacing w:val="8"/>
          <w:sz w:val="30"/>
        </w:rPr>
        <w:t>为推进科技服务，提高科技成果推广，加大新技术、新品种的引进与推广，开展科技调研1次、参加科技博览会1次。</w:t>
      </w:r>
    </w:p>
    <w:p>
      <w:pPr>
        <w:spacing w:line="620" w:lineRule="exact"/>
        <w:ind w:firstLine="640"/>
        <w:rPr>
          <w:rFonts w:hint="eastAsia" w:ascii="仿宋"/>
          <w:sz w:val="32"/>
        </w:rPr>
      </w:pP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绩效自评工作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numPr>
          <w:ilvl w:val="0"/>
          <w:numId w:val="3"/>
        </w:numPr>
        <w:spacing w:before="188" w:line="204" w:lineRule="auto"/>
        <w:ind w:firstLine="577"/>
        <w:rPr>
          <w:rFonts w:ascii="仿宋" w:hAnsi="仿宋" w:eastAsia="仿宋" w:cs="仿宋"/>
          <w:spacing w:val="1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绩效自评目的。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项目绩效自评的目的是对项目绩效管理制定的计划实施、绩效结果应用、绩效目标提升进行评估，更是为了改进工作，并准确接受第三方的评估。</w:t>
        <w:cr/>
        <w:t>1、对财政资金支出的实施效果和资金使用效益进行评价。</w:t>
        <w:cr/>
        <w:t>2、强化支出责任，优化资源配置，进一步提高预算管理水平和财政资金使用效益。</w:t>
        <w:cr/>
        <w:t>3、及时总结经验，分析存在问题，采取措施改进和加强资金管理。</w:t>
      </w:r>
    </w:p>
    <w:p>
      <w:pPr>
        <w:numPr>
          <w:ilvl w:val="0"/>
          <w:numId w:val="3"/>
        </w:numPr>
        <w:spacing w:before="189" w:line="204" w:lineRule="auto"/>
        <w:ind w:left="0" w:leftChars="0"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项目资金投入情况。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本年度资金年初预算数</w:t>
      </w:r>
      <w:r>
        <w:rPr>
          <w:rFonts w:ascii="仿宋" w:hAnsi="仿宋" w:cs="仿宋" w:eastAsia="仿宋"/>
          <w:color w:val="auto"/>
          <w:spacing w:val="4"/>
          <w:sz w:val="30"/>
        </w:rPr>
        <w:t>5.00</w:t>
      </w:r>
      <w:r>
        <w:rPr>
          <w:rFonts w:ascii="仿宋" w:hAnsi="仿宋" w:cs="仿宋" w:eastAsia="仿宋"/>
          <w:color w:val="auto"/>
          <w:spacing w:val="4"/>
          <w:sz w:val="30"/>
        </w:rPr>
        <w:t>万元，其中：财政拨款</w:t>
      </w:r>
      <w:r>
        <w:rPr>
          <w:rFonts w:ascii="仿宋" w:hAnsi="仿宋" w:cs="仿宋" w:eastAsia="仿宋"/>
          <w:color w:val="auto"/>
          <w:spacing w:val="4"/>
          <w:sz w:val="30"/>
        </w:rPr>
        <w:t>5.00</w:t>
      </w:r>
      <w:r>
        <w:rPr>
          <w:rFonts w:ascii="仿宋" w:hAnsi="仿宋" w:cs="仿宋" w:eastAsia="仿宋"/>
          <w:color w:val="auto"/>
          <w:spacing w:val="4"/>
          <w:sz w:val="30"/>
        </w:rPr>
        <w:t>万元，其他资金</w:t>
      </w:r>
      <w:r>
        <w:rPr>
          <w:rFonts w:ascii="仿宋" w:hAnsi="仿宋" w:cs="仿宋" w:eastAsia="仿宋"/>
          <w:color w:val="auto"/>
          <w:spacing w:val="4"/>
          <w:sz w:val="30"/>
        </w:rPr>
        <w:t>0.00</w:t>
      </w:r>
      <w:r>
        <w:rPr>
          <w:rFonts w:ascii="仿宋" w:hAnsi="仿宋" w:cs="仿宋" w:eastAsia="仿宋"/>
          <w:color w:val="auto"/>
          <w:spacing w:val="4"/>
          <w:sz w:val="30"/>
        </w:rPr>
        <w:t>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本年度资金全年预算数</w:t>
      </w:r>
      <w:r>
        <w:rPr>
          <w:rFonts w:ascii="仿宋" w:hAnsi="仿宋" w:cs="仿宋" w:eastAsia="仿宋"/>
          <w:color w:val="auto"/>
          <w:spacing w:val="4"/>
          <w:sz w:val="30"/>
        </w:rPr>
        <w:t>5.00</w:t>
      </w:r>
      <w:r>
        <w:rPr>
          <w:rFonts w:ascii="仿宋" w:hAnsi="仿宋" w:cs="仿宋" w:eastAsia="仿宋"/>
          <w:color w:val="auto"/>
          <w:spacing w:val="4"/>
          <w:sz w:val="30"/>
        </w:rPr>
        <w:t>万元，其中：财政拨款</w:t>
      </w:r>
      <w:r>
        <w:rPr>
          <w:rFonts w:ascii="仿宋" w:hAnsi="仿宋" w:cs="仿宋" w:eastAsia="仿宋"/>
          <w:color w:val="auto"/>
          <w:spacing w:val="4"/>
          <w:sz w:val="30"/>
        </w:rPr>
        <w:t>5.00</w:t>
      </w:r>
      <w:r>
        <w:rPr>
          <w:rFonts w:ascii="仿宋" w:hAnsi="仿宋" w:cs="仿宋" w:eastAsia="仿宋"/>
          <w:color w:val="auto"/>
          <w:spacing w:val="4"/>
          <w:sz w:val="30"/>
        </w:rPr>
        <w:t>万元，其他资金</w:t>
      </w:r>
      <w:r>
        <w:rPr>
          <w:rFonts w:ascii="仿宋" w:hAnsi="仿宋" w:cs="仿宋" w:eastAsia="仿宋"/>
          <w:color w:val="auto"/>
          <w:spacing w:val="4"/>
          <w:sz w:val="30"/>
        </w:rPr>
        <w:t>0</w:t>
      </w:r>
      <w:r>
        <w:rPr>
          <w:rFonts w:ascii="仿宋" w:hAnsi="仿宋" w:cs="仿宋" w:eastAsia="仿宋"/>
          <w:color w:val="auto"/>
          <w:spacing w:val="4"/>
          <w:sz w:val="30"/>
        </w:rPr>
        <w:t>万元。</w:t>
      </w:r>
    </w:p>
    <w:p>
      <w:pPr>
        <w:numPr>
          <w:numId w:val="0"/>
        </w:numPr>
        <w:spacing w:before="189" w:line="204" w:lineRule="auto"/>
        <w:ind w:left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本年度资金全年执行数</w:t>
      </w:r>
      <w:r>
        <w:rPr>
          <w:rFonts w:ascii="仿宋" w:hAnsi="仿宋" w:cs="仿宋" w:eastAsia="仿宋"/>
          <w:color w:val="auto"/>
          <w:spacing w:val="4"/>
          <w:sz w:val="30"/>
        </w:rPr>
        <w:t>1.15</w:t>
      </w:r>
      <w:r>
        <w:rPr>
          <w:rFonts w:ascii="仿宋" w:hAnsi="仿宋" w:cs="仿宋" w:eastAsia="仿宋"/>
          <w:color w:val="auto"/>
          <w:spacing w:val="4"/>
          <w:sz w:val="30"/>
        </w:rPr>
        <w:t>万元，其中：财政拨款</w:t>
      </w:r>
      <w:r>
        <w:rPr>
          <w:rFonts w:ascii="仿宋" w:hAnsi="仿宋" w:cs="仿宋" w:eastAsia="仿宋"/>
          <w:color w:val="auto"/>
          <w:spacing w:val="4"/>
          <w:sz w:val="30"/>
        </w:rPr>
        <w:t>1.15</w:t>
      </w:r>
      <w:r>
        <w:rPr>
          <w:rFonts w:ascii="仿宋" w:hAnsi="仿宋" w:cs="仿宋" w:eastAsia="仿宋"/>
          <w:color w:val="auto"/>
          <w:spacing w:val="4"/>
          <w:sz w:val="30"/>
        </w:rPr>
        <w:t>万元，其他资金</w:t>
      </w:r>
      <w:r>
        <w:rPr>
          <w:rFonts w:ascii="仿宋" w:hAnsi="仿宋" w:cs="仿宋" w:eastAsia="仿宋"/>
          <w:color w:val="auto"/>
          <w:spacing w:val="4"/>
          <w:sz w:val="30"/>
        </w:rPr>
        <w:t>0.00</w:t>
      </w:r>
      <w:r>
        <w:rPr>
          <w:rFonts w:ascii="仿宋" w:hAnsi="仿宋" w:cs="仿宋" w:eastAsia="仿宋"/>
          <w:color w:val="auto"/>
          <w:spacing w:val="4"/>
          <w:sz w:val="30"/>
        </w:rPr>
        <w:t>万元。</w:t>
      </w:r>
    </w:p>
    <w:p>
      <w:pPr>
        <w:numPr>
          <w:ilvl w:val="0"/>
          <w:numId w:val="3"/>
        </w:numPr>
        <w:spacing w:before="188" w:line="204" w:lineRule="auto"/>
        <w:ind w:left="0" w:leftChars="0" w:firstLine="616" w:firstLineChars="200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项目资金产出情况。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我单位组织对本年度部门预算项目支出进行了绩效评价，本次遵循了“科学规范、客观公正”的原则，评价结果显示，在资金产出方面未完成年初制定的绩效目标。</w:t>
        <w:cr/>
        <w:t>为加强财政支出管理，提高财政资金使用效益，纳入本年度部门预算的项目共一个，年初预算安排资金5万元，实际指标下达5万元。从评价情况来看，因受工作计划及不确定因素影响，个别项目指标未能完成。下一步我单位将加强项目监控力度，合理分配资源，确保项目按时完成。</w:t>
      </w:r>
    </w:p>
    <w:p>
      <w:pPr>
        <w:numPr>
          <w:ilvl w:val="0"/>
          <w:numId w:val="3"/>
        </w:numPr>
        <w:spacing w:before="189" w:line="204" w:lineRule="auto"/>
        <w:ind w:left="0" w:leftChars="0" w:firstLine="608" w:firstLineChars="200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项目资金管理情况。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项目资金管理是保证项目顺利实施和高效实施的关键环节，建立资金管理机制，以确保项目资金的合理安排和有效使用。</w:t>
        <w:cr/>
        <w:t>1、资金安排：明确资金安排计划，确定项目实施所需资金的总量和每次拨付额度，根据项目实施进展情况控制资金安排。</w:t>
        <w:cr/>
        <w:t>2、资金结算：明确资金结算和资金分配。</w:t>
        <w:cr/>
        <w:t>3、资金控制：建立预算控制体系，以确保金额不被超支，防止资金滥用。</w:t>
        <w:cr/>
        <w:t>4、资金报账：按照财务制度、预算控制制度，定期检查资金使用情况。</w:t>
        <w:cr/>
        <w:t>5、资金监督：建立资金监管制度，对项目财务管理情况进行定期监督，确保资金使用合理、费用支出合规。</w:t>
      </w:r>
    </w:p>
    <w:p>
      <w:pPr>
        <w:numPr>
          <w:numId w:val="0"/>
        </w:numPr>
        <w:spacing w:before="189" w:line="204" w:lineRule="auto"/>
        <w:ind w:leftChars="200"/>
        <w:rPr>
          <w:rFonts w:ascii="仿宋" w:hAnsi="仿宋" w:eastAsia="仿宋" w:cs="仿宋"/>
          <w:spacing w:val="4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189" w:line="204" w:lineRule="auto"/>
        <w:ind w:leftChars="200"/>
        <w:rPr>
          <w:rFonts w:ascii="仿宋" w:hAnsi="仿宋" w:eastAsia="仿宋" w:cs="仿宋"/>
          <w:spacing w:val="2"/>
          <w:sz w:val="30"/>
          <w:szCs w:val="30"/>
        </w:rPr>
      </w:pP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项目绩效情况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(一) 产出指标完成情况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1、数量指标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1)参加科技博览会及高交会次数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1.5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2)开展科技咨询及调研次数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1.5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3)开展业务交流及与科研院所开展产学研合作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1.5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4)出差人次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cs="仿宋" w:eastAsia="仿宋"/>
          <w:sz w:val="32"/>
        </w:rPr>
        <w:t>人/次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人/次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5)科技宣传册印刷种类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cs="仿宋" w:eastAsia="仿宋"/>
          <w:sz w:val="32"/>
        </w:rPr>
        <w:t>种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种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6)科技宣传广告牌数量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cs="仿宋" w:eastAsia="仿宋"/>
          <w:sz w:val="32"/>
        </w:rPr>
        <w:t>块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块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2、质量指标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7)参会完成率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8)调研工作完成率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80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2.53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9)业务工作完成率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80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2.53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10)科技宣传册印刷完成率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11)科技宣传广告牌印刷完成率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12)工作人员合格率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3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3、时效指标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13)参加科技博览会及高交会完成时间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cs="仿宋" w:eastAsia="仿宋"/>
          <w:sz w:val="32"/>
        </w:rPr>
        <w:t>年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年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14)开展业务交流与合作完成时间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cs="仿宋" w:eastAsia="仿宋"/>
          <w:sz w:val="32"/>
        </w:rPr>
        <w:t>年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1</w:t>
      </w:r>
      <w:r>
        <w:rPr>
          <w:rFonts w:ascii="仿宋" w:hAnsi="仿宋" w:cs="仿宋" w:eastAsia="仿宋"/>
          <w:sz w:val="32"/>
        </w:rPr>
        <w:t>年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4、成本指标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15)参会成本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1.5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0.66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16)调研成本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1.5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0.49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17)业务工作成本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1.5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18)科技宣传册印刷成本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0.3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19)科技宣传广告牌印刷成本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0.2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万元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(二) 效益指标完成情况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5、经济效益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6、社会效益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20)推动高新技术产业发展新观念的交流带动区域经济发展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  <w:r>
        <w:rPr>
          <w:rFonts w:hint="eastAsia" w:ascii="仿宋" w:hAnsi="仿宋" w:eastAsia="仿宋"/>
          <w:sz w:val="32"/>
          <w:szCs w:val="32"/>
        </w:rPr>
        <w:t>推动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推动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21)推动科技服务促进新技术新品种的引进与推广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  <w:r>
        <w:rPr>
          <w:rFonts w:hint="eastAsia" w:ascii="仿宋" w:hAnsi="仿宋" w:eastAsia="仿宋"/>
          <w:sz w:val="32"/>
          <w:szCs w:val="32"/>
        </w:rPr>
        <w:t>推动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推动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22)推动科技创新发展加大科技宣传力度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  <w:r>
        <w:rPr>
          <w:rFonts w:hint="eastAsia" w:ascii="仿宋" w:hAnsi="仿宋" w:eastAsia="仿宋"/>
          <w:sz w:val="32"/>
          <w:szCs w:val="32"/>
        </w:rPr>
        <w:t>推动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推动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7、生态效益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8、可持续影响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23)为带动区域经济发展建立长效机制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长期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24)为推动科技成果转移转化建立长效机制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长期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25)为推动科技创新发展建立长效机制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长期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(三) 满意度指标完成情况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9、服务对象满意度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26)群众满意度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90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4.74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27)企业及农户满意度</w:t>
      </w:r>
      <w:r>
        <w:rPr>
          <w:rFonts w:ascii="仿宋" w:hAnsi="仿宋" w:cs="仿宋" w:eastAsia="仿宋"/>
          <w:sz w:val="32"/>
        </w:rPr>
        <w:t>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cs="仿宋" w:eastAsia="仿宋"/>
          <w:sz w:val="32"/>
        </w:rPr>
        <w:t>95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，分值</w:t>
      </w:r>
      <w:r>
        <w:rPr>
          <w:rFonts w:ascii="仿宋" w:hAnsi="仿宋" w:cs="仿宋" w:eastAsia="仿宋"/>
          <w:sz w:val="32"/>
        </w:rPr>
        <w:t>5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自评得分情况</w:t>
      </w:r>
    </w:p>
    <w:p>
      <w:pPr>
        <w:spacing w:line="620" w:lineRule="exact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本项目绩效自评得分</w:t>
      </w:r>
      <w:r>
        <w:rPr>
          <w:rFonts w:ascii="仿宋_GB2312" w:hAnsi="仿宋_GB2312" w:cs="仿宋_GB2312" w:eastAsia="仿宋_GB2312"/>
          <w:sz w:val="32"/>
        </w:rPr>
        <w:t>71.6</w:t>
      </w:r>
      <w:r>
        <w:rPr>
          <w:rFonts w:ascii="仿宋_GB2312" w:hAnsi="仿宋_GB2312" w:cs="仿宋_GB2312" w:eastAsia="仿宋_GB2312"/>
          <w:sz w:val="32"/>
        </w:rPr>
        <w:t>分，等级为</w:t>
      </w:r>
      <w:r>
        <w:rPr>
          <w:rFonts w:ascii="仿宋_GB2312" w:hAnsi="仿宋_GB2312" w:cs="仿宋_GB2312" w:eastAsia="仿宋_GB2312"/>
          <w:sz w:val="32"/>
        </w:rPr>
        <w:t>C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存在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项目立项、实施存在问题。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</w:t>
      </w:r>
      <w:r>
        <w:rPr>
          <w:rFonts w:ascii="仿宋" w:hAnsi="仿宋" w:cs="仿宋" w:eastAsia="仿宋"/>
          <w:sz w:val="32"/>
        </w:rPr>
        <w:t xml:space="preserve">. </w:t>
      </w:r>
      <w:r>
        <w:rPr>
          <w:rFonts w:ascii="仿宋" w:hAnsi="仿宋" w:cs="仿宋" w:eastAsia="仿宋"/>
          <w:sz w:val="32"/>
        </w:rPr>
        <w:t>因工作计划及不确定因素影响，个别项目指标未完成</w:t>
      </w:r>
    </w:p>
    <w:p>
      <w:pPr>
        <w:numPr>
          <w:ilvl w:val="0"/>
          <w:numId w:val="4"/>
        </w:numPr>
        <w:spacing w:line="240" w:lineRule="auto"/>
        <w:ind w:left="240" w:leftChars="0"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资金管理使用存在问题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</w:t>
      </w:r>
      <w:r>
        <w:rPr>
          <w:rFonts w:ascii="仿宋" w:hAnsi="仿宋" w:cs="仿宋" w:eastAsia="仿宋"/>
          <w:sz w:val="32"/>
        </w:rPr>
        <w:t xml:space="preserve">. </w:t>
      </w:r>
      <w:r>
        <w:rPr>
          <w:rFonts w:ascii="仿宋" w:hAnsi="仿宋" w:cs="仿宋" w:eastAsia="仿宋"/>
          <w:sz w:val="32"/>
        </w:rPr>
        <w:t>资金使用率不高，项目执行过程中部分资金未发挥作用</w:t>
      </w:r>
    </w:p>
    <w:p>
      <w:pPr>
        <w:spacing w:line="240" w:lineRule="auto"/>
        <w:ind w:left="420" w:firstLine="420" w:firstLineChars="0"/>
        <w:rPr>
          <w:rFonts w:ascii="仿宋" w:hAnsi="仿宋" w:eastAsia="仿宋"/>
          <w:b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五、其他需要说明的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spacing w:before="188" w:line="204" w:lineRule="auto"/>
        <w:ind w:firstLine="5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（一）后续工作计划。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1.继续调研我市及周边地区设施农业。</w:t>
        <w:cr/>
        <w:t>2.面向我市农区居民大力开展科技宣传活动。</w:t>
        <w:cr/>
        <w:t>3.通过参加科博会、农博会、高交会等多种形式，收集、整理、加工农业科技信息，为我市农区居民、涉农企业（协会）等涉农组织，开展科技信息服务。</w:t>
        <w:cr/>
        <w:t>4.针对优化我市现代农业优势产业、实施品牌战略工程等要求，强化科技导入，大力发展设施农业，打造我市特色农业区域品牌。</w:t>
      </w:r>
    </w:p>
    <w:p>
      <w:pPr>
        <w:spacing w:before="189" w:line="204" w:lineRule="auto"/>
        <w:ind w:firstLine="577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（二）措施及办法。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</w:t>
      </w:r>
      <w:r>
        <w:rPr>
          <w:rFonts w:ascii="仿宋" w:hAnsi="仿宋" w:cs="仿宋" w:eastAsia="仿宋"/>
          <w:sz w:val="32"/>
        </w:rPr>
        <w:t xml:space="preserve">. </w:t>
      </w:r>
      <w:r>
        <w:rPr>
          <w:rFonts w:ascii="仿宋" w:hAnsi="仿宋" w:cs="仿宋" w:eastAsia="仿宋"/>
          <w:sz w:val="32"/>
        </w:rPr>
        <w:t>加强项目进度监控力度，合理分配资源，确保项目按时完成</w:t>
      </w:r>
    </w:p>
    <w:p>
      <w:pPr>
        <w:spacing w:line="620" w:lineRule="exact"/>
        <w:ind w:left="48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</w:t>
      </w:r>
      <w:r>
        <w:rPr>
          <w:rFonts w:ascii="仿宋" w:hAnsi="仿宋" w:cs="仿宋" w:eastAsia="仿宋"/>
          <w:sz w:val="32"/>
        </w:rPr>
        <w:t xml:space="preserve">. </w:t>
      </w:r>
      <w:r>
        <w:rPr>
          <w:rFonts w:ascii="仿宋" w:hAnsi="仿宋" w:cs="仿宋" w:eastAsia="仿宋"/>
          <w:sz w:val="32"/>
        </w:rPr>
        <w:t>加强财政资金使用效益，将合理规划使用资金</w:t>
      </w:r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20" w:lineRule="exact"/>
        <w:ind w:left="590" w:firstLine="643"/>
        <w:rPr>
          <w:rFonts w:ascii="仿宋" w:hAnsi="仿宋" w:eastAsia="仿宋"/>
          <w:b/>
          <w:sz w:val="3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BB1F1"/>
    <w:multiLevelType w:val="multilevel"/>
    <w:tmpl w:val="994BB1F1"/>
    <w:lvl w:ilvl="0" w:tentative="0">
      <w:start w:val="1"/>
      <w:numFmt w:val="japaneseCounting"/>
      <w:lvlText w:val="%1、"/>
      <w:lvlJc w:val="left"/>
      <w:pPr>
        <w:ind w:left="13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0" w:hanging="420"/>
      </w:pPr>
    </w:lvl>
    <w:lvl w:ilvl="2" w:tentative="0">
      <w:start w:val="1"/>
      <w:numFmt w:val="lowerRoman"/>
      <w:lvlText w:val="%3."/>
      <w:lvlJc w:val="right"/>
      <w:pPr>
        <w:ind w:left="1850" w:hanging="420"/>
      </w:pPr>
    </w:lvl>
    <w:lvl w:ilvl="3" w:tentative="0">
      <w:start w:val="1"/>
      <w:numFmt w:val="decimal"/>
      <w:lvlText w:val="%4."/>
      <w:lvlJc w:val="left"/>
      <w:pPr>
        <w:ind w:left="2270" w:hanging="420"/>
      </w:pPr>
    </w:lvl>
    <w:lvl w:ilvl="4" w:tentative="0">
      <w:start w:val="1"/>
      <w:numFmt w:val="lowerLetter"/>
      <w:lvlText w:val="%5)"/>
      <w:lvlJc w:val="left"/>
      <w:pPr>
        <w:ind w:left="2690" w:hanging="420"/>
      </w:pPr>
    </w:lvl>
    <w:lvl w:ilvl="5" w:tentative="0">
      <w:start w:val="1"/>
      <w:numFmt w:val="lowerRoman"/>
      <w:lvlText w:val="%6."/>
      <w:lvlJc w:val="right"/>
      <w:pPr>
        <w:ind w:left="3110" w:hanging="420"/>
      </w:pPr>
    </w:lvl>
    <w:lvl w:ilvl="6" w:tentative="0">
      <w:start w:val="1"/>
      <w:numFmt w:val="decimal"/>
      <w:lvlText w:val="%7."/>
      <w:lvlJc w:val="left"/>
      <w:pPr>
        <w:ind w:left="3530" w:hanging="420"/>
      </w:pPr>
    </w:lvl>
    <w:lvl w:ilvl="7" w:tentative="0">
      <w:start w:val="1"/>
      <w:numFmt w:val="lowerLetter"/>
      <w:lvlText w:val="%8)"/>
      <w:lvlJc w:val="left"/>
      <w:pPr>
        <w:ind w:left="3950" w:hanging="420"/>
      </w:pPr>
    </w:lvl>
    <w:lvl w:ilvl="8" w:tentative="0">
      <w:start w:val="1"/>
      <w:numFmt w:val="lowerRoman"/>
      <w:lvlText w:val="%9."/>
      <w:lvlJc w:val="right"/>
      <w:pPr>
        <w:ind w:left="4370" w:hanging="420"/>
      </w:pPr>
    </w:lvl>
  </w:abstractNum>
  <w:abstractNum w:abstractNumId="1">
    <w:nsid w:val="ADA24D32"/>
    <w:multiLevelType w:val="singleLevel"/>
    <w:tmpl w:val="ADA24D32"/>
    <w:lvl w:ilvl="0" w:tentative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2">
    <w:nsid w:val="FBB8592C"/>
    <w:multiLevelType w:val="singleLevel"/>
    <w:tmpl w:val="FBB859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CF258D6"/>
    <w:multiLevelType w:val="singleLevel"/>
    <w:tmpl w:val="0CF258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zIzZTYxNzYyMTBiMzNiMDUxODg5NTdjYzRiNTU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26752A9"/>
    <w:rsid w:val="03C2244D"/>
    <w:rsid w:val="049C7DEF"/>
    <w:rsid w:val="04A96372"/>
    <w:rsid w:val="04C2697B"/>
    <w:rsid w:val="05156224"/>
    <w:rsid w:val="069550DB"/>
    <w:rsid w:val="06AB7BA4"/>
    <w:rsid w:val="07CB6A82"/>
    <w:rsid w:val="084D2748"/>
    <w:rsid w:val="0C062F64"/>
    <w:rsid w:val="0F0A7121"/>
    <w:rsid w:val="0F18115A"/>
    <w:rsid w:val="0F4B3357"/>
    <w:rsid w:val="0F6F185A"/>
    <w:rsid w:val="0FDC5FFD"/>
    <w:rsid w:val="136923D4"/>
    <w:rsid w:val="15BB6F18"/>
    <w:rsid w:val="1891657A"/>
    <w:rsid w:val="18ED55F2"/>
    <w:rsid w:val="197864DF"/>
    <w:rsid w:val="19A02C16"/>
    <w:rsid w:val="1A674D68"/>
    <w:rsid w:val="1A821FE7"/>
    <w:rsid w:val="1AC32CC4"/>
    <w:rsid w:val="1B9331E7"/>
    <w:rsid w:val="1E674D08"/>
    <w:rsid w:val="1EAB64DA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73E5672"/>
    <w:rsid w:val="288E0795"/>
    <w:rsid w:val="291D29FD"/>
    <w:rsid w:val="2B223F6D"/>
    <w:rsid w:val="2B6F4C9D"/>
    <w:rsid w:val="2C5E2E59"/>
    <w:rsid w:val="2DE23A3A"/>
    <w:rsid w:val="2E8E1287"/>
    <w:rsid w:val="300E3D77"/>
    <w:rsid w:val="30533016"/>
    <w:rsid w:val="30B80E03"/>
    <w:rsid w:val="33255290"/>
    <w:rsid w:val="33D877D8"/>
    <w:rsid w:val="35AE68A5"/>
    <w:rsid w:val="36CD16A7"/>
    <w:rsid w:val="38E64707"/>
    <w:rsid w:val="3A8859B9"/>
    <w:rsid w:val="3ACFBC2D"/>
    <w:rsid w:val="3DE61665"/>
    <w:rsid w:val="3E1153AE"/>
    <w:rsid w:val="3E516972"/>
    <w:rsid w:val="3EE47779"/>
    <w:rsid w:val="404969DC"/>
    <w:rsid w:val="40B53B29"/>
    <w:rsid w:val="41A437D2"/>
    <w:rsid w:val="43CB6518"/>
    <w:rsid w:val="43D60DED"/>
    <w:rsid w:val="44FE14DD"/>
    <w:rsid w:val="49E56F9C"/>
    <w:rsid w:val="4A926FD7"/>
    <w:rsid w:val="4DD15688"/>
    <w:rsid w:val="4F070E89"/>
    <w:rsid w:val="4F374648"/>
    <w:rsid w:val="4F4451D2"/>
    <w:rsid w:val="51237888"/>
    <w:rsid w:val="51BA42A7"/>
    <w:rsid w:val="520F6E89"/>
    <w:rsid w:val="53203621"/>
    <w:rsid w:val="54DA00D3"/>
    <w:rsid w:val="554E0C20"/>
    <w:rsid w:val="568F07C7"/>
    <w:rsid w:val="57252998"/>
    <w:rsid w:val="59B56326"/>
    <w:rsid w:val="5A0C4685"/>
    <w:rsid w:val="5A553285"/>
    <w:rsid w:val="5AB43B01"/>
    <w:rsid w:val="5D55237F"/>
    <w:rsid w:val="5F12091C"/>
    <w:rsid w:val="5FB20796"/>
    <w:rsid w:val="5FBDFEA1"/>
    <w:rsid w:val="5FC44E2D"/>
    <w:rsid w:val="5FD626AD"/>
    <w:rsid w:val="604010EC"/>
    <w:rsid w:val="610E05D3"/>
    <w:rsid w:val="62215294"/>
    <w:rsid w:val="65FC618C"/>
    <w:rsid w:val="660310CC"/>
    <w:rsid w:val="66161B6A"/>
    <w:rsid w:val="66984919"/>
    <w:rsid w:val="66F07E69"/>
    <w:rsid w:val="671B478E"/>
    <w:rsid w:val="676F702D"/>
    <w:rsid w:val="6A582252"/>
    <w:rsid w:val="6AD82D16"/>
    <w:rsid w:val="6B464D38"/>
    <w:rsid w:val="6BDF3DCF"/>
    <w:rsid w:val="6C5075F1"/>
    <w:rsid w:val="6C670BB6"/>
    <w:rsid w:val="6DD40FF8"/>
    <w:rsid w:val="71565F3F"/>
    <w:rsid w:val="72502DE7"/>
    <w:rsid w:val="74114A65"/>
    <w:rsid w:val="74DC7A51"/>
    <w:rsid w:val="753554DD"/>
    <w:rsid w:val="75A24B0F"/>
    <w:rsid w:val="76AB03E2"/>
    <w:rsid w:val="76D1210E"/>
    <w:rsid w:val="77AC22DD"/>
    <w:rsid w:val="77B83789"/>
    <w:rsid w:val="78691D8F"/>
    <w:rsid w:val="78F52A46"/>
    <w:rsid w:val="793C6850"/>
    <w:rsid w:val="7ABC43C8"/>
    <w:rsid w:val="7CA67A3C"/>
    <w:rsid w:val="7DAE3E8B"/>
    <w:rsid w:val="7E77AE1E"/>
    <w:rsid w:val="7FB6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theme/theme1.xml" Type="http://schemas.openxmlformats.org/officeDocument/2006/relationships/theme"/><Relationship Id="rId12" Target="numbering.xml" Type="http://schemas.openxmlformats.org/officeDocument/2006/relationships/numbering"/><Relationship Id="rId13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header2.xml" Type="http://schemas.openxmlformats.org/officeDocument/2006/relationships/header"/><Relationship Id="rId7" Target="header3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</Words>
  <Characters>1382</Characters>
  <Lines>16</Lines>
  <Paragraphs>4</Paragraphs>
  <TotalTime>1</TotalTime>
  <ScaleCrop>false</ScaleCrop>
  <LinksUpToDate>false</LinksUpToDate>
  <CharactersWithSpaces>1395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2021-01-19T15:13:00Z</dcterms:created>
  <dc:creator>Administrator</dc:creator>
  <cp:lastModifiedBy>.</cp:lastModifiedBy>
  <dcterms:modified xsi:type="dcterms:W3CDTF">2024-05-23T11:20:51Z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2CF270DEABCC4AC0B2D61ED60F3256AC</vt:lpwstr>
  </property>
</Properties>
</file>